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2D5DA1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2D5DA1">
        <w:rPr>
          <w:b/>
        </w:rPr>
        <w:t xml:space="preserve">                                      СЕРЕБРЯНСКИЙ ВЕСТНИК</w:t>
      </w:r>
    </w:p>
    <w:p w:rsidR="007500D4" w:rsidRPr="002D5DA1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2D5DA1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D5DA1" w:rsidRDefault="00E3514A">
            <w:pPr>
              <w:spacing w:line="276" w:lineRule="auto"/>
              <w:rPr>
                <w:b/>
                <w:lang w:eastAsia="en-US"/>
              </w:rPr>
            </w:pPr>
            <w:r w:rsidRPr="002D5DA1">
              <w:rPr>
                <w:b/>
                <w:lang w:eastAsia="en-US"/>
              </w:rPr>
              <w:t xml:space="preserve">     №</w:t>
            </w:r>
            <w:r w:rsidR="00AC0385" w:rsidRPr="002D5DA1">
              <w:rPr>
                <w:b/>
                <w:lang w:eastAsia="en-US"/>
              </w:rPr>
              <w:t xml:space="preserve"> </w:t>
            </w:r>
            <w:r w:rsidR="002D5DA1" w:rsidRPr="002D5DA1">
              <w:rPr>
                <w:b/>
                <w:lang w:eastAsia="en-US"/>
              </w:rPr>
              <w:t>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D5DA1" w:rsidRDefault="00E3514A">
            <w:pPr>
              <w:spacing w:line="276" w:lineRule="auto"/>
              <w:rPr>
                <w:b/>
                <w:lang w:eastAsia="en-US"/>
              </w:rPr>
            </w:pPr>
            <w:r w:rsidRPr="002D5DA1">
              <w:rPr>
                <w:b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D5DA1" w:rsidRDefault="002D5DA1">
            <w:pPr>
              <w:spacing w:line="276" w:lineRule="auto"/>
              <w:rPr>
                <w:b/>
                <w:lang w:eastAsia="en-US"/>
              </w:rPr>
            </w:pPr>
            <w:r w:rsidRPr="002D5DA1">
              <w:rPr>
                <w:b/>
                <w:lang w:eastAsia="en-US"/>
              </w:rPr>
              <w:t xml:space="preserve"> 10.09</w:t>
            </w:r>
            <w:r w:rsidR="00A5397E" w:rsidRPr="002D5DA1">
              <w:rPr>
                <w:b/>
                <w:lang w:eastAsia="en-US"/>
              </w:rPr>
              <w:t>.2021</w:t>
            </w:r>
            <w:r w:rsidR="00E3514A" w:rsidRPr="002D5DA1">
              <w:rPr>
                <w:b/>
                <w:lang w:eastAsia="en-US"/>
              </w:rPr>
              <w:t xml:space="preserve"> г.</w:t>
            </w:r>
          </w:p>
        </w:tc>
      </w:tr>
    </w:tbl>
    <w:p w:rsidR="001412C4" w:rsidRPr="002D5DA1" w:rsidRDefault="001412C4" w:rsidP="001412C4">
      <w:pPr>
        <w:ind w:firstLine="708"/>
        <w:jc w:val="both"/>
      </w:pPr>
    </w:p>
    <w:p w:rsidR="002D5DA1" w:rsidRPr="002D5DA1" w:rsidRDefault="002D5DA1" w:rsidP="002D5DA1">
      <w:pPr>
        <w:jc w:val="right"/>
        <w:rPr>
          <w:b/>
          <w:bCs/>
          <w:color w:val="333333"/>
        </w:rPr>
      </w:pPr>
      <w:r w:rsidRPr="002D5DA1">
        <w:rPr>
          <w:b/>
          <w:bCs/>
          <w:color w:val="333333"/>
        </w:rPr>
        <w:t>Прокуратура разъясняет</w:t>
      </w:r>
    </w:p>
    <w:p w:rsidR="002D5DA1" w:rsidRPr="002D5DA1" w:rsidRDefault="002D5DA1" w:rsidP="002D5DA1">
      <w:pPr>
        <w:jc w:val="right"/>
        <w:rPr>
          <w:b/>
          <w:bCs/>
          <w:color w:val="333333"/>
        </w:rPr>
      </w:pPr>
    </w:p>
    <w:p w:rsidR="002D5DA1" w:rsidRPr="002D5DA1" w:rsidRDefault="002D5DA1" w:rsidP="002D5DA1">
      <w:pPr>
        <w:jc w:val="center"/>
        <w:rPr>
          <w:b/>
          <w:bCs/>
          <w:color w:val="333333"/>
        </w:rPr>
      </w:pPr>
      <w:r w:rsidRPr="002D5DA1">
        <w:rPr>
          <w:b/>
          <w:bCs/>
          <w:color w:val="333333"/>
        </w:rPr>
        <w:t>Полномочия присяжных заседателей</w:t>
      </w:r>
    </w:p>
    <w:p w:rsidR="002D5DA1" w:rsidRPr="002D5DA1" w:rsidRDefault="002D5DA1" w:rsidP="002D5DA1">
      <w:pPr>
        <w:jc w:val="both"/>
      </w:pPr>
      <w:r w:rsidRPr="002D5DA1">
        <w:t> </w:t>
      </w:r>
      <w:r w:rsidRPr="002D5DA1">
        <w:rPr>
          <w:color w:val="FFFFFF"/>
        </w:rPr>
        <w:t>Текст</w:t>
      </w:r>
    </w:p>
    <w:p w:rsidR="002D5DA1" w:rsidRPr="002D5DA1" w:rsidRDefault="002D5DA1" w:rsidP="002D5DA1">
      <w:pPr>
        <w:jc w:val="both"/>
      </w:pP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  <w:r w:rsidRPr="002D5DA1">
        <w:rPr>
          <w:color w:val="333333"/>
        </w:rPr>
        <w:t>Уголовно-процессуальный закон строго разграничивает компетенции коллегии присяжных заседателей, которая в своем вердикте разрешает вопросы факта, и профессионального судьи, разрешающего вопросы права, который на основе вердикта присяжных выносит обвинительный или оправдательный приговор.</w:t>
      </w: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  <w:r w:rsidRPr="002D5DA1">
        <w:rPr>
          <w:color w:val="333333"/>
        </w:rPr>
        <w:t xml:space="preserve">Различие полномочий между присяжными заседателями и председательствующим судьей определяет характер судебного разбирательства. Согласно </w:t>
      </w:r>
      <w:proofErr w:type="gramStart"/>
      <w:r w:rsidRPr="002D5DA1">
        <w:rPr>
          <w:color w:val="333333"/>
        </w:rPr>
        <w:t>ч</w:t>
      </w:r>
      <w:proofErr w:type="gramEnd"/>
      <w:r w:rsidRPr="002D5DA1">
        <w:rPr>
          <w:color w:val="333333"/>
        </w:rPr>
        <w:t xml:space="preserve">.7 ст.335 УПК РФ в ходе судебного следствия в присутствии присяжных заседателей подлежат исследованию лишь те фактические обстоятельства преступления, установление которых входит в их полномочия. По уголовному делу присяжные заседатели вправе разрешать только вопросы, предусмотренные п.п.1, 2 и 4 ч.1 ст.299 УПК РФ, они сформулированы в вопросном листе в виде: доказано ли, что имело </w:t>
      </w:r>
      <w:proofErr w:type="gramStart"/>
      <w:r w:rsidRPr="002D5DA1">
        <w:rPr>
          <w:color w:val="333333"/>
        </w:rPr>
        <w:t>место</w:t>
      </w:r>
      <w:proofErr w:type="gramEnd"/>
      <w:r w:rsidRPr="002D5DA1">
        <w:rPr>
          <w:color w:val="333333"/>
        </w:rPr>
        <w:t xml:space="preserve"> деяние; доказано ли, что деяние совершил подсудимый; виновен ли подсудимый в совершении этого деяния. В случае признания подсудимого виновным присяжные заседатели также указывают, заслуживает ли подсудимый снисхождения. Все другие вопросы разрешаются без участия присяжных заседателей председательствующим единолично (ст. ст.299, 334, 339 УПК РФ).</w:t>
      </w: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  <w:r w:rsidRPr="002D5DA1">
        <w:rPr>
          <w:color w:val="333333"/>
        </w:rPr>
        <w:t>Из круга обстоятельств, устанавливаемых с участием присяжных заседателей, изымаются те, которые способны вызвать предубеждение в отношении подсудимого или потерпевшего, свидетеля, либо не могут быть установлены присяжными заседателями из-за отсутствия юридических познаний.</w:t>
      </w: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  <w:r w:rsidRPr="002D5DA1">
        <w:rPr>
          <w:color w:val="333333"/>
        </w:rPr>
        <w:t>Для сохранения объективности и беспристрастности присяжных заседателей в их присутствии не подлежат исследованию процессуальные решения, а также не обсуждаются и не разрешаются вопросы и ходатайства, направленные на обеспечение условий судебного разбирательства. Законом не допускается вовлечение присяжных в исследование заявлений подсудимых о незаконных методах ведения следствия (применение насилия, угроз и т.д.), т.е., по существу, о допустимости доказательств. Для проверки таких заявлений судом вызываются и допрашиваются в отсутствие присяжных заседателей оперативные работники, следователи и другие лица, если доводы подсудимых находят своё подтверждение, то судья исключает такие доказательства из числа тех, которые присяжным необходимо оценить при вынесении вердикта.</w:t>
      </w: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  <w:r w:rsidRPr="002D5DA1">
        <w:rPr>
          <w:color w:val="333333"/>
        </w:rPr>
        <w:t>Данные о личности подсудимого исследуются с участием присяжных заседателей лишь в той мере, в какой они необходимы для установления отдельных признаков состава преступления, в совершении которого он обвиняется. Запрещается исследовать факты прежней судимости, признания подсудимого хроническим алкоголиком или наркоманом, а также иные данные, способные вызвать предубеждение присяжных в отношении подсудимого (</w:t>
      </w:r>
      <w:proofErr w:type="gramStart"/>
      <w:r w:rsidRPr="002D5DA1">
        <w:rPr>
          <w:color w:val="333333"/>
        </w:rPr>
        <w:t>ч</w:t>
      </w:r>
      <w:proofErr w:type="gramEnd"/>
      <w:r w:rsidRPr="002D5DA1">
        <w:rPr>
          <w:color w:val="333333"/>
        </w:rPr>
        <w:t>.8 ст.335 УПК РФ). По этой причине присяжными заседателями не изучаются заключения судебно-психиатрических и судебно-психологических экспертиз об особенностях личности подсудимого, документы и сведения о прежней судимости, характеристики, справки о состоянии здоровья подсудимого и его родственников, о семейном положении и другие личные данные не связанные с совершением преступления.</w:t>
      </w: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  <w:r w:rsidRPr="002D5DA1">
        <w:rPr>
          <w:color w:val="333333"/>
        </w:rPr>
        <w:t xml:space="preserve">Но иногда такие данные имеют отношение к делу и подлежат исследованию в присутствии присяжных заседателей. При этом они оглашаются лишь в той мере, в какой </w:t>
      </w:r>
      <w:r w:rsidRPr="002D5DA1">
        <w:rPr>
          <w:color w:val="333333"/>
        </w:rPr>
        <w:lastRenderedPageBreak/>
        <w:t>необходимы для установления отдельных признаков состава преступления, в совершении которого обвиняется подсудимый.</w:t>
      </w: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  <w:r w:rsidRPr="002D5DA1">
        <w:rPr>
          <w:color w:val="333333"/>
        </w:rPr>
        <w:t>Например, данные о судимости могут быть доведены до сведения присяжных заседателей, если они подлежат доказыванию, исходя из предъявленного обвинения или из версии стороны защиты. Так, если подсудимому предъявлено обвинение в том, что он, отбывая наказание в исправительной колонии, совершил преступление в отношении другого осужденного, то в этом случае до присяжных заседателей вынужденно доводятся сведения о том, что подсудимый отбывает наказание в колонии.</w:t>
      </w: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  <w:r w:rsidRPr="002D5DA1">
        <w:rPr>
          <w:color w:val="333333"/>
        </w:rPr>
        <w:t>Указанное правило распространяется на потерпевшего и свидетелей, поскольку оглашение сведений об их прежней судимости, а также других личных данных может сформировать у присяжных заседателей негативное отношение к ним и повлиять на объективную оценку сведений, содержащихся в показаниях данных лиц.</w:t>
      </w: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  <w:r w:rsidRPr="002D5DA1">
        <w:rPr>
          <w:color w:val="333333"/>
        </w:rPr>
        <w:t>Нарушение пределов судебного следствия с участием присяжных заседателей признается Верховным Судом Российской Федерации существенным нарушением уголовно-процессуального закона, влекущим отмену приговора.</w:t>
      </w:r>
    </w:p>
    <w:p w:rsidR="002D5DA1" w:rsidRPr="002D5DA1" w:rsidRDefault="002D5DA1" w:rsidP="002D5DA1">
      <w:pPr>
        <w:shd w:val="clear" w:color="auto" w:fill="FFFFFF"/>
        <w:ind w:firstLine="851"/>
        <w:jc w:val="both"/>
        <w:rPr>
          <w:color w:val="333333"/>
        </w:rPr>
      </w:pPr>
    </w:p>
    <w:p w:rsidR="002D5DA1" w:rsidRPr="002D5DA1" w:rsidRDefault="002D5DA1" w:rsidP="002D5DA1">
      <w:pPr>
        <w:spacing w:line="240" w:lineRule="exact"/>
        <w:jc w:val="both"/>
        <w:rPr>
          <w:rFonts w:eastAsiaTheme="minorHAnsi"/>
          <w:lang w:eastAsia="en-US"/>
        </w:rPr>
      </w:pPr>
      <w:r w:rsidRPr="002D5DA1">
        <w:t xml:space="preserve">И.о. прокурора района </w:t>
      </w:r>
    </w:p>
    <w:p w:rsidR="002D5DA1" w:rsidRPr="002D5DA1" w:rsidRDefault="002D5DA1" w:rsidP="002D5DA1">
      <w:pPr>
        <w:spacing w:line="240" w:lineRule="exact"/>
        <w:jc w:val="both"/>
      </w:pPr>
    </w:p>
    <w:p w:rsidR="002D5DA1" w:rsidRPr="002D5DA1" w:rsidRDefault="002D5DA1" w:rsidP="002D5DA1">
      <w:pPr>
        <w:spacing w:line="240" w:lineRule="exact"/>
        <w:jc w:val="both"/>
      </w:pPr>
      <w:r w:rsidRPr="002D5DA1">
        <w:t xml:space="preserve">советник юстиции                                                                         И.В. </w:t>
      </w:r>
      <w:proofErr w:type="spellStart"/>
      <w:r w:rsidRPr="002D5DA1">
        <w:t>Ваганцева</w:t>
      </w:r>
      <w:proofErr w:type="spellEnd"/>
    </w:p>
    <w:p w:rsidR="00B20348" w:rsidRPr="002D5DA1" w:rsidRDefault="00B20348" w:rsidP="00B20348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522618" w:rsidRPr="002D5DA1" w:rsidRDefault="00522618" w:rsidP="00B20348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AC0385" w:rsidRPr="002D5DA1" w:rsidRDefault="00AC0385" w:rsidP="00AC0385">
      <w:pPr>
        <w:pStyle w:val="a5"/>
        <w:jc w:val="right"/>
        <w:rPr>
          <w:rFonts w:ascii="Arial" w:hAnsi="Arial" w:cs="Arial"/>
          <w:color w:val="000000"/>
          <w:sz w:val="24"/>
          <w:szCs w:val="24"/>
        </w:rPr>
      </w:pPr>
      <w:r w:rsidRPr="002D5DA1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</w:p>
    <w:p w:rsidR="00AC0385" w:rsidRPr="002D5DA1" w:rsidRDefault="00AC0385" w:rsidP="00AC0385"/>
    <w:p w:rsidR="00D77DC0" w:rsidRPr="002D5DA1" w:rsidRDefault="00D77DC0" w:rsidP="009760D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CE67AA" w:rsidRPr="002D5DA1" w:rsidTr="0094475E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2D5DA1" w:rsidRDefault="00CE67AA" w:rsidP="0094475E">
            <w:pPr>
              <w:rPr>
                <w:b/>
              </w:rPr>
            </w:pPr>
            <w:r w:rsidRPr="002D5DA1">
              <w:rPr>
                <w:b/>
              </w:rPr>
              <w:t xml:space="preserve">Редакционный совет  </w:t>
            </w:r>
          </w:p>
          <w:p w:rsidR="00CE67AA" w:rsidRPr="002D5DA1" w:rsidRDefault="00CE67AA" w:rsidP="0094475E">
            <w:pPr>
              <w:rPr>
                <w:b/>
              </w:rPr>
            </w:pPr>
            <w:r w:rsidRPr="002D5DA1">
              <w:rPr>
                <w:b/>
              </w:rPr>
              <w:t xml:space="preserve">Адрес: Новосибирская область Чулымский район с. </w:t>
            </w:r>
            <w:proofErr w:type="spellStart"/>
            <w:r w:rsidRPr="002D5DA1">
              <w:rPr>
                <w:b/>
              </w:rPr>
              <w:t>Серебрянское</w:t>
            </w:r>
            <w:proofErr w:type="spellEnd"/>
            <w:r w:rsidRPr="002D5DA1">
              <w:rPr>
                <w:b/>
              </w:rPr>
              <w:t xml:space="preserve"> </w:t>
            </w:r>
          </w:p>
          <w:p w:rsidR="00CE67AA" w:rsidRPr="002D5DA1" w:rsidRDefault="00CE67AA" w:rsidP="0094475E">
            <w:pPr>
              <w:rPr>
                <w:b/>
              </w:rPr>
            </w:pPr>
            <w:r w:rsidRPr="002D5DA1">
              <w:rPr>
                <w:b/>
              </w:rPr>
              <w:t xml:space="preserve"> ул. Советская 40 б</w:t>
            </w:r>
          </w:p>
          <w:p w:rsidR="00CE67AA" w:rsidRPr="002D5DA1" w:rsidRDefault="00CE67AA" w:rsidP="0094475E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2D5DA1" w:rsidRDefault="00CE67AA" w:rsidP="0094475E">
            <w:pPr>
              <w:rPr>
                <w:b/>
              </w:rPr>
            </w:pPr>
            <w:r w:rsidRPr="002D5DA1">
              <w:rPr>
                <w:b/>
              </w:rPr>
              <w:t xml:space="preserve">«СЕРЕБРЯНСКИЙ ВЕСТНИК»       </w:t>
            </w:r>
          </w:p>
          <w:p w:rsidR="00CE67AA" w:rsidRPr="002D5DA1" w:rsidRDefault="002D5DA1" w:rsidP="0094475E">
            <w:pPr>
              <w:rPr>
                <w:b/>
              </w:rPr>
            </w:pPr>
            <w:r w:rsidRPr="002D5DA1">
              <w:rPr>
                <w:b/>
              </w:rPr>
              <w:t>10.09</w:t>
            </w:r>
            <w:r w:rsidR="00CE67AA" w:rsidRPr="002D5DA1">
              <w:rPr>
                <w:b/>
              </w:rPr>
              <w:t xml:space="preserve">.2021 г. </w:t>
            </w:r>
            <w:r w:rsidRPr="002D5DA1">
              <w:rPr>
                <w:b/>
              </w:rPr>
              <w:t>№13</w:t>
            </w:r>
          </w:p>
          <w:p w:rsidR="00CE67AA" w:rsidRPr="002D5DA1" w:rsidRDefault="00CE67AA" w:rsidP="0094475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2D5DA1" w:rsidRDefault="00CE67AA" w:rsidP="0094475E">
            <w:pPr>
              <w:rPr>
                <w:b/>
              </w:rPr>
            </w:pPr>
            <w:r w:rsidRPr="002D5DA1">
              <w:rPr>
                <w:b/>
              </w:rPr>
              <w:t xml:space="preserve">Над </w:t>
            </w:r>
            <w:proofErr w:type="gramStart"/>
            <w:r w:rsidRPr="002D5DA1">
              <w:rPr>
                <w:b/>
              </w:rPr>
              <w:t>техническим исполнением</w:t>
            </w:r>
            <w:proofErr w:type="gramEnd"/>
            <w:r w:rsidRPr="002D5DA1">
              <w:rPr>
                <w:b/>
              </w:rPr>
              <w:t xml:space="preserve"> работала:   </w:t>
            </w:r>
          </w:p>
          <w:p w:rsidR="00CE67AA" w:rsidRPr="002D5DA1" w:rsidRDefault="00CE67AA" w:rsidP="0094475E">
            <w:pPr>
              <w:rPr>
                <w:b/>
              </w:rPr>
            </w:pPr>
            <w:r w:rsidRPr="002D5DA1">
              <w:rPr>
                <w:b/>
              </w:rPr>
              <w:t>Н.А. Гутникова</w:t>
            </w:r>
          </w:p>
          <w:p w:rsidR="00CE67AA" w:rsidRPr="002D5DA1" w:rsidRDefault="00CE67AA" w:rsidP="0094475E">
            <w:pPr>
              <w:rPr>
                <w:b/>
              </w:rPr>
            </w:pPr>
          </w:p>
        </w:tc>
      </w:tr>
    </w:tbl>
    <w:p w:rsidR="00D77DC0" w:rsidRPr="002D5DA1" w:rsidRDefault="00D77DC0" w:rsidP="00272CE4">
      <w:pPr>
        <w:sectPr w:rsidR="00D77DC0" w:rsidRPr="002D5DA1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2D5DA1" w:rsidRDefault="00487EBB" w:rsidP="002D5DA1"/>
    <w:sectPr w:rsidR="00487EBB" w:rsidRPr="002D5DA1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5E" w:rsidRDefault="00A9675E" w:rsidP="00534519">
      <w:r>
        <w:separator/>
      </w:r>
    </w:p>
  </w:endnote>
  <w:endnote w:type="continuationSeparator" w:id="0">
    <w:p w:rsidR="00A9675E" w:rsidRDefault="00A9675E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5E" w:rsidRDefault="00A9675E" w:rsidP="00534519">
      <w:r>
        <w:separator/>
      </w:r>
    </w:p>
  </w:footnote>
  <w:footnote w:type="continuationSeparator" w:id="0">
    <w:p w:rsidR="00A9675E" w:rsidRDefault="00A9675E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115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160F04BB"/>
    <w:multiLevelType w:val="hybridMultilevel"/>
    <w:tmpl w:val="5DC0E1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E6C85"/>
    <w:multiLevelType w:val="hybridMultilevel"/>
    <w:tmpl w:val="E56AC5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5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247076"/>
    <w:multiLevelType w:val="hybridMultilevel"/>
    <w:tmpl w:val="386E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D2066"/>
    <w:multiLevelType w:val="hybridMultilevel"/>
    <w:tmpl w:val="6732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1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4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6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6196E"/>
    <w:multiLevelType w:val="hybridMultilevel"/>
    <w:tmpl w:val="43E4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D4142F"/>
    <w:multiLevelType w:val="hybridMultilevel"/>
    <w:tmpl w:val="F22051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B83C6C"/>
    <w:multiLevelType w:val="hybridMultilevel"/>
    <w:tmpl w:val="73DAC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51EC8"/>
    <w:rsid w:val="00054C8F"/>
    <w:rsid w:val="000568DD"/>
    <w:rsid w:val="0005769E"/>
    <w:rsid w:val="00057B72"/>
    <w:rsid w:val="000618B5"/>
    <w:rsid w:val="00064582"/>
    <w:rsid w:val="000800BD"/>
    <w:rsid w:val="00085FE1"/>
    <w:rsid w:val="000904AC"/>
    <w:rsid w:val="00090D84"/>
    <w:rsid w:val="00091EEC"/>
    <w:rsid w:val="000934F7"/>
    <w:rsid w:val="00093905"/>
    <w:rsid w:val="0009608F"/>
    <w:rsid w:val="000A0D99"/>
    <w:rsid w:val="000A252A"/>
    <w:rsid w:val="000B43B1"/>
    <w:rsid w:val="000B6320"/>
    <w:rsid w:val="000C055E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24ED8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4DEB"/>
    <w:rsid w:val="001D3C85"/>
    <w:rsid w:val="001D5853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9714E"/>
    <w:rsid w:val="002A0905"/>
    <w:rsid w:val="002A3B26"/>
    <w:rsid w:val="002A4507"/>
    <w:rsid w:val="002B05DE"/>
    <w:rsid w:val="002B4D94"/>
    <w:rsid w:val="002C32D3"/>
    <w:rsid w:val="002C7ECB"/>
    <w:rsid w:val="002D47C3"/>
    <w:rsid w:val="002D50B5"/>
    <w:rsid w:val="002D5DA1"/>
    <w:rsid w:val="002D6461"/>
    <w:rsid w:val="002D7BBF"/>
    <w:rsid w:val="002E2F3F"/>
    <w:rsid w:val="002F1C29"/>
    <w:rsid w:val="002F48C4"/>
    <w:rsid w:val="002F7121"/>
    <w:rsid w:val="0030511E"/>
    <w:rsid w:val="00311AFB"/>
    <w:rsid w:val="00314546"/>
    <w:rsid w:val="00316429"/>
    <w:rsid w:val="00317997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5139A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400744"/>
    <w:rsid w:val="004069F0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5EAD"/>
    <w:rsid w:val="004F1760"/>
    <w:rsid w:val="004F2212"/>
    <w:rsid w:val="004F2EB8"/>
    <w:rsid w:val="004F5DC6"/>
    <w:rsid w:val="004F7A56"/>
    <w:rsid w:val="005121AA"/>
    <w:rsid w:val="00521A12"/>
    <w:rsid w:val="00522618"/>
    <w:rsid w:val="00534519"/>
    <w:rsid w:val="005369C9"/>
    <w:rsid w:val="00546F1B"/>
    <w:rsid w:val="00550F9A"/>
    <w:rsid w:val="00570B99"/>
    <w:rsid w:val="00571B4D"/>
    <w:rsid w:val="0057234C"/>
    <w:rsid w:val="00576FF5"/>
    <w:rsid w:val="00577E18"/>
    <w:rsid w:val="00587558"/>
    <w:rsid w:val="00587998"/>
    <w:rsid w:val="005942F8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F2169"/>
    <w:rsid w:val="005F3DDF"/>
    <w:rsid w:val="005F4B65"/>
    <w:rsid w:val="005F6537"/>
    <w:rsid w:val="006001A2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6356"/>
    <w:rsid w:val="00687ABF"/>
    <w:rsid w:val="00693C1A"/>
    <w:rsid w:val="0069450F"/>
    <w:rsid w:val="00696BC4"/>
    <w:rsid w:val="006A29E2"/>
    <w:rsid w:val="006A2F44"/>
    <w:rsid w:val="006A5FF2"/>
    <w:rsid w:val="006A7C9C"/>
    <w:rsid w:val="006A7FDB"/>
    <w:rsid w:val="006B234D"/>
    <w:rsid w:val="006B5F59"/>
    <w:rsid w:val="006B6DD8"/>
    <w:rsid w:val="006B7E30"/>
    <w:rsid w:val="006C0668"/>
    <w:rsid w:val="006C1865"/>
    <w:rsid w:val="006D2CF6"/>
    <w:rsid w:val="006E3E96"/>
    <w:rsid w:val="006E7FC9"/>
    <w:rsid w:val="007015E8"/>
    <w:rsid w:val="0070257E"/>
    <w:rsid w:val="00703447"/>
    <w:rsid w:val="00703F93"/>
    <w:rsid w:val="00705E32"/>
    <w:rsid w:val="00717E76"/>
    <w:rsid w:val="0072621C"/>
    <w:rsid w:val="00737522"/>
    <w:rsid w:val="007404C4"/>
    <w:rsid w:val="00742830"/>
    <w:rsid w:val="007432D1"/>
    <w:rsid w:val="00745206"/>
    <w:rsid w:val="00745CC7"/>
    <w:rsid w:val="007500D4"/>
    <w:rsid w:val="00754140"/>
    <w:rsid w:val="00760D6E"/>
    <w:rsid w:val="00764ED7"/>
    <w:rsid w:val="007716E8"/>
    <w:rsid w:val="00772371"/>
    <w:rsid w:val="00776EA5"/>
    <w:rsid w:val="00777489"/>
    <w:rsid w:val="0077783B"/>
    <w:rsid w:val="00782668"/>
    <w:rsid w:val="007929E9"/>
    <w:rsid w:val="00795355"/>
    <w:rsid w:val="007A67B1"/>
    <w:rsid w:val="007B7FDB"/>
    <w:rsid w:val="007C487E"/>
    <w:rsid w:val="007C71A9"/>
    <w:rsid w:val="007E21C6"/>
    <w:rsid w:val="007E24B5"/>
    <w:rsid w:val="007E4709"/>
    <w:rsid w:val="007E50F3"/>
    <w:rsid w:val="007E6A22"/>
    <w:rsid w:val="007F1C4B"/>
    <w:rsid w:val="007F3635"/>
    <w:rsid w:val="007F4693"/>
    <w:rsid w:val="007F4F5D"/>
    <w:rsid w:val="008050F8"/>
    <w:rsid w:val="00805D46"/>
    <w:rsid w:val="00807C06"/>
    <w:rsid w:val="00810D4C"/>
    <w:rsid w:val="00812E0D"/>
    <w:rsid w:val="00813F1D"/>
    <w:rsid w:val="00814A94"/>
    <w:rsid w:val="00815262"/>
    <w:rsid w:val="008239DD"/>
    <w:rsid w:val="00852741"/>
    <w:rsid w:val="00852D6D"/>
    <w:rsid w:val="00853E22"/>
    <w:rsid w:val="00856286"/>
    <w:rsid w:val="00856859"/>
    <w:rsid w:val="00863165"/>
    <w:rsid w:val="0088196A"/>
    <w:rsid w:val="00884FD1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72FD"/>
    <w:rsid w:val="008F4666"/>
    <w:rsid w:val="008F50A9"/>
    <w:rsid w:val="008F5F4A"/>
    <w:rsid w:val="00904EEA"/>
    <w:rsid w:val="009102DC"/>
    <w:rsid w:val="00913F64"/>
    <w:rsid w:val="009142BD"/>
    <w:rsid w:val="00923595"/>
    <w:rsid w:val="0092403A"/>
    <w:rsid w:val="00932121"/>
    <w:rsid w:val="00932ED8"/>
    <w:rsid w:val="00934FA3"/>
    <w:rsid w:val="00936380"/>
    <w:rsid w:val="00937AF8"/>
    <w:rsid w:val="00941852"/>
    <w:rsid w:val="00944486"/>
    <w:rsid w:val="009467EF"/>
    <w:rsid w:val="009760DF"/>
    <w:rsid w:val="00980589"/>
    <w:rsid w:val="00980B2B"/>
    <w:rsid w:val="009812F3"/>
    <w:rsid w:val="00983AB1"/>
    <w:rsid w:val="00990A1B"/>
    <w:rsid w:val="009A2B9E"/>
    <w:rsid w:val="009A4A50"/>
    <w:rsid w:val="009A6097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3105"/>
    <w:rsid w:val="00A47676"/>
    <w:rsid w:val="00A52382"/>
    <w:rsid w:val="00A5397E"/>
    <w:rsid w:val="00A54A88"/>
    <w:rsid w:val="00A8221C"/>
    <w:rsid w:val="00A84CC4"/>
    <w:rsid w:val="00A90E18"/>
    <w:rsid w:val="00A92E0D"/>
    <w:rsid w:val="00A9675E"/>
    <w:rsid w:val="00AA3893"/>
    <w:rsid w:val="00AA59EF"/>
    <w:rsid w:val="00AB238E"/>
    <w:rsid w:val="00AB2CBE"/>
    <w:rsid w:val="00AB4828"/>
    <w:rsid w:val="00AC0385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79"/>
    <w:rsid w:val="00B43479"/>
    <w:rsid w:val="00B47138"/>
    <w:rsid w:val="00B62B74"/>
    <w:rsid w:val="00B71A54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E2B38"/>
    <w:rsid w:val="00BE3981"/>
    <w:rsid w:val="00BE50D5"/>
    <w:rsid w:val="00BF4602"/>
    <w:rsid w:val="00C00044"/>
    <w:rsid w:val="00C000C3"/>
    <w:rsid w:val="00C06F13"/>
    <w:rsid w:val="00C07A02"/>
    <w:rsid w:val="00C134AF"/>
    <w:rsid w:val="00C236C9"/>
    <w:rsid w:val="00C26DAF"/>
    <w:rsid w:val="00C308AF"/>
    <w:rsid w:val="00C354EF"/>
    <w:rsid w:val="00C4377C"/>
    <w:rsid w:val="00C449D0"/>
    <w:rsid w:val="00C451DF"/>
    <w:rsid w:val="00C45370"/>
    <w:rsid w:val="00C45F3C"/>
    <w:rsid w:val="00C461A2"/>
    <w:rsid w:val="00C5085B"/>
    <w:rsid w:val="00C525FE"/>
    <w:rsid w:val="00C52982"/>
    <w:rsid w:val="00C5361D"/>
    <w:rsid w:val="00C60281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C6E65"/>
    <w:rsid w:val="00CD5137"/>
    <w:rsid w:val="00CD61E8"/>
    <w:rsid w:val="00CD6E00"/>
    <w:rsid w:val="00CE205C"/>
    <w:rsid w:val="00CE466C"/>
    <w:rsid w:val="00CE67AA"/>
    <w:rsid w:val="00CF7CDD"/>
    <w:rsid w:val="00D01E74"/>
    <w:rsid w:val="00D06B1C"/>
    <w:rsid w:val="00D076CB"/>
    <w:rsid w:val="00D13F8A"/>
    <w:rsid w:val="00D278C4"/>
    <w:rsid w:val="00D31236"/>
    <w:rsid w:val="00D357A3"/>
    <w:rsid w:val="00D427EA"/>
    <w:rsid w:val="00D469F3"/>
    <w:rsid w:val="00D513D6"/>
    <w:rsid w:val="00D5415E"/>
    <w:rsid w:val="00D726A6"/>
    <w:rsid w:val="00D726FD"/>
    <w:rsid w:val="00D73861"/>
    <w:rsid w:val="00D73C54"/>
    <w:rsid w:val="00D77DC0"/>
    <w:rsid w:val="00D817CE"/>
    <w:rsid w:val="00D91C90"/>
    <w:rsid w:val="00D9567E"/>
    <w:rsid w:val="00D95E18"/>
    <w:rsid w:val="00DA5EBB"/>
    <w:rsid w:val="00DC0A6A"/>
    <w:rsid w:val="00DC3144"/>
    <w:rsid w:val="00DC6A59"/>
    <w:rsid w:val="00DC7AAC"/>
    <w:rsid w:val="00DD016C"/>
    <w:rsid w:val="00DD076C"/>
    <w:rsid w:val="00DD0F09"/>
    <w:rsid w:val="00DD37E9"/>
    <w:rsid w:val="00DD4299"/>
    <w:rsid w:val="00DD5082"/>
    <w:rsid w:val="00DD7830"/>
    <w:rsid w:val="00DE31DD"/>
    <w:rsid w:val="00DE38A0"/>
    <w:rsid w:val="00DF273A"/>
    <w:rsid w:val="00E004A0"/>
    <w:rsid w:val="00E00A74"/>
    <w:rsid w:val="00E01511"/>
    <w:rsid w:val="00E0292D"/>
    <w:rsid w:val="00E2446C"/>
    <w:rsid w:val="00E271CE"/>
    <w:rsid w:val="00E30CD5"/>
    <w:rsid w:val="00E32EFB"/>
    <w:rsid w:val="00E3514A"/>
    <w:rsid w:val="00E656EB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240C"/>
    <w:rsid w:val="00F23B23"/>
    <w:rsid w:val="00F26D87"/>
    <w:rsid w:val="00F33604"/>
    <w:rsid w:val="00F3599E"/>
    <w:rsid w:val="00F37818"/>
    <w:rsid w:val="00F400B6"/>
    <w:rsid w:val="00F4094E"/>
    <w:rsid w:val="00F44CF8"/>
    <w:rsid w:val="00F500C1"/>
    <w:rsid w:val="00F51CE4"/>
    <w:rsid w:val="00F55F47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C1E9B"/>
    <w:rsid w:val="00FC58F8"/>
    <w:rsid w:val="00FC72A6"/>
    <w:rsid w:val="00FD10F3"/>
    <w:rsid w:val="00FD736A"/>
    <w:rsid w:val="00FE6BAB"/>
    <w:rsid w:val="00FF02B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uiPriority w:val="2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uiPriority w:val="99"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uiPriority w:val="99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uiPriority w:val="99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2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1"/>
    <w:uiPriority w:val="99"/>
    <w:rsid w:val="002303A6"/>
    <w:pPr>
      <w:spacing w:before="100" w:beforeAutospacing="1" w:after="100" w:afterAutospacing="1"/>
    </w:pPr>
  </w:style>
  <w:style w:type="character" w:customStyle="1" w:styleId="hyperlink">
    <w:name w:val="hyperlink"/>
    <w:basedOn w:val="a2"/>
    <w:rsid w:val="00A4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41450-07A4-493B-88E6-4E559F03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6</cp:revision>
  <cp:lastPrinted>2016-08-08T11:30:00Z</cp:lastPrinted>
  <dcterms:created xsi:type="dcterms:W3CDTF">2021-07-30T03:28:00Z</dcterms:created>
  <dcterms:modified xsi:type="dcterms:W3CDTF">2021-09-10T03:33:00Z</dcterms:modified>
</cp:coreProperties>
</file>