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b/>
          <w:bCs/>
          <w:color w:val="292c2f"/>
          <w:sz w:val="28"/>
          <w:szCs w:val="28"/>
        </w:rPr>
      </w:pPr>
      <w:r>
        <w:rPr>
          <w:rFonts w:ascii="Times New Roman" w:hAnsi="Times New Roman" w:cs="Times New Roman"/>
          <w:b/>
          <w:color w:val="292c2f"/>
          <w:sz w:val="28"/>
          <w:szCs w:val="28"/>
        </w:rPr>
        <w:t xml:space="preserve">Цифра дня: «дачная амнистия»</w:t>
      </w:r>
      <w:r>
        <w:rPr>
          <w:rFonts w:ascii="Times New Roman" w:hAnsi="Times New Roman" w:cs="Times New Roman"/>
          <w:b/>
          <w:bCs/>
          <w:color w:val="292c2f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292c2f"/>
          <w:sz w:val="28"/>
          <w:szCs w:val="28"/>
        </w:rPr>
      </w:r>
    </w:p>
    <w:p>
      <w:pPr>
        <w:jc w:val="center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b/>
          <w:bCs/>
          <w:color w:val="292c2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92c2f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292c2f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292c2f"/>
          <w:sz w:val="28"/>
          <w:szCs w:val="28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 все время действия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о «дачной амнистии» в Новосибирской области зарегистрировано </w:t>
      </w:r>
      <w:r>
        <w:rPr>
          <w:rFonts w:ascii="Times New Roman" w:hAnsi="Times New Roman" w:cs="Times New Roman"/>
          <w:sz w:val="28"/>
          <w:szCs w:val="28"/>
        </w:rPr>
        <w:t xml:space="preserve">около 237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яч</w:t>
      </w:r>
      <w:r>
        <w:rPr>
          <w:rFonts w:ascii="Times New Roman" w:hAnsi="Times New Roman" w:cs="Times New Roman"/>
          <w:sz w:val="28"/>
          <w:szCs w:val="28"/>
        </w:rPr>
        <w:t xml:space="preserve"> прав граждан.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начала 2025 года </w:t>
      </w:r>
      <w:r>
        <w:rPr>
          <w:rFonts w:ascii="Times New Roman" w:hAnsi="Times New Roman" w:cs="Times New Roman"/>
          <w:sz w:val="28"/>
          <w:szCs w:val="28"/>
        </w:rPr>
        <w:t xml:space="preserve">наблюдается</w:t>
      </w:r>
      <w:r>
        <w:rPr>
          <w:rFonts w:ascii="Times New Roman" w:hAnsi="Times New Roman" w:cs="Times New Roman"/>
          <w:sz w:val="28"/>
          <w:szCs w:val="28"/>
        </w:rPr>
        <w:t xml:space="preserve"> увеличени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активности жителей области по оформлению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: в текущем году зарегистрировано </w:t>
      </w:r>
      <w:r>
        <w:rPr>
          <w:rFonts w:ascii="Times New Roman" w:hAnsi="Times New Roman" w:cs="Times New Roman"/>
          <w:sz w:val="28"/>
          <w:szCs w:val="28"/>
        </w:rPr>
        <w:t xml:space="preserve">692 участка в упрощенном порядке, что в 3 раза больше, чем за аналогичный период прошлого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1 марта 2031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правообладатели земельных участков для ведения садоводства, личного подсобного хозяйства, индивидуального жилищного строительства, крестьянского (фермерского) хозяйства могут оформить в упрощенном порядке: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жилые и садовые дома,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вспомогательные или хозяйственные постройки (например, гаражи, бани, сараи).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Основанием для государственного кадастрового учета и государственной регистрации прав является технический план, который го</w:t>
      </w:r>
      <w:r>
        <w:rPr>
          <w:rFonts w:ascii="Times New Roman" w:hAnsi="Times New Roman" w:cs="Times New Roman"/>
          <w:sz w:val="28"/>
          <w:szCs w:val="28"/>
        </w:rPr>
        <w:t xml:space="preserve">товит кадастровый инженер.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Отмечаем, что для оформления прав на построенные объекты недвижимости границы земельного участка должны быть уточнены (проведено ме</w:t>
      </w:r>
      <w:r>
        <w:rPr>
          <w:rFonts w:ascii="Times New Roman" w:hAnsi="Times New Roman" w:cs="Times New Roman"/>
          <w:sz w:val="28"/>
          <w:szCs w:val="28"/>
        </w:rPr>
        <w:t xml:space="preserve">жевание кадастровым инженером).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2025-03-17T03:51:24Z</dcterms:modified>
  <cp:version>917504</cp:version>
</cp:coreProperties>
</file>