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782" w:rsidRPr="007E3782" w:rsidRDefault="007E3782" w:rsidP="00123801">
      <w:pPr>
        <w:pStyle w:val="a3"/>
        <w:spacing w:before="0" w:beforeAutospacing="0" w:after="0" w:afterAutospacing="0"/>
        <w:ind w:left="3402"/>
        <w:rPr>
          <w:sz w:val="28"/>
          <w:szCs w:val="28"/>
        </w:rPr>
      </w:pPr>
      <w:r w:rsidRPr="007E3782">
        <w:rPr>
          <w:sz w:val="28"/>
          <w:szCs w:val="28"/>
        </w:rPr>
        <w:t> </w:t>
      </w:r>
      <w:r w:rsidR="00123801" w:rsidRPr="00123801">
        <w:rPr>
          <w:noProof/>
          <w:sz w:val="28"/>
          <w:szCs w:val="28"/>
        </w:rPr>
        <w:drawing>
          <wp:inline distT="0" distB="0" distL="0" distR="0">
            <wp:extent cx="1933575" cy="299999"/>
            <wp:effectExtent l="0" t="0" r="0" b="0"/>
            <wp:docPr id="1" name="Рисунок 1" descr="\\10.54.140.4\_обмен_\_Отдел контроля и Анализа\!СМИ\ДЛЯ ОТПРАВКИ\2024\цветно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54.140.4\_обмен_\_Отдел контроля и Анализа\!СМИ\ДЛЯ ОТПРАВКИ\2024\цветной.png"/>
                    <pic:cNvPicPr>
                      <a:picLocks noChangeAspect="1" noChangeArrowheads="1"/>
                    </pic:cNvPicPr>
                  </pic:nvPicPr>
                  <pic:blipFill>
                    <a:blip r:embed="rId4" cstate="print"/>
                    <a:srcRect/>
                    <a:stretch>
                      <a:fillRect/>
                    </a:stretch>
                  </pic:blipFill>
                  <pic:spPr bwMode="auto">
                    <a:xfrm>
                      <a:off x="0" y="0"/>
                      <a:ext cx="1932542" cy="299839"/>
                    </a:xfrm>
                    <a:prstGeom prst="rect">
                      <a:avLst/>
                    </a:prstGeom>
                    <a:noFill/>
                    <a:ln w="9525">
                      <a:noFill/>
                      <a:miter lim="800000"/>
                      <a:headEnd/>
                      <a:tailEnd/>
                    </a:ln>
                  </pic:spPr>
                </pic:pic>
              </a:graphicData>
            </a:graphic>
          </wp:inline>
        </w:drawing>
      </w:r>
    </w:p>
    <w:p w:rsidR="00F30752" w:rsidRPr="00C56848" w:rsidRDefault="007E3782" w:rsidP="00EF398E">
      <w:pPr>
        <w:pStyle w:val="a3"/>
        <w:spacing w:before="0" w:beforeAutospacing="0" w:after="0" w:afterAutospacing="0"/>
        <w:ind w:left="3402"/>
        <w:jc w:val="center"/>
        <w:rPr>
          <w:sz w:val="28"/>
          <w:szCs w:val="28"/>
        </w:rPr>
      </w:pPr>
      <w:r w:rsidRPr="007E3782">
        <w:rPr>
          <w:sz w:val="28"/>
          <w:szCs w:val="28"/>
        </w:rPr>
        <w:t> </w:t>
      </w:r>
    </w:p>
    <w:p w:rsidR="00F30752" w:rsidRPr="00CB53C8" w:rsidRDefault="00F30752" w:rsidP="00CB53C8">
      <w:pPr>
        <w:spacing w:after="0" w:line="360" w:lineRule="auto"/>
        <w:rPr>
          <w:rFonts w:ascii="Times New Roman" w:eastAsia="Times New Roman" w:hAnsi="Times New Roman" w:cs="Times New Roman"/>
          <w:sz w:val="28"/>
          <w:szCs w:val="28"/>
          <w:lang w:eastAsia="ru-RU"/>
        </w:rPr>
      </w:pPr>
    </w:p>
    <w:p w:rsidR="00CB53C8" w:rsidRPr="00CB53C8" w:rsidRDefault="00CB53C8" w:rsidP="00CB53C8">
      <w:pPr>
        <w:spacing w:after="0" w:line="360" w:lineRule="auto"/>
        <w:ind w:firstLine="709"/>
        <w:jc w:val="center"/>
        <w:rPr>
          <w:rFonts w:ascii="Times New Roman" w:hAnsi="Times New Roman" w:cs="Times New Roman"/>
          <w:b/>
          <w:bCs/>
          <w:sz w:val="28"/>
          <w:szCs w:val="28"/>
        </w:rPr>
      </w:pPr>
      <w:r w:rsidRPr="00CB53C8">
        <w:rPr>
          <w:rFonts w:ascii="Times New Roman" w:hAnsi="Times New Roman" w:cs="Times New Roman"/>
          <w:b/>
          <w:bCs/>
          <w:sz w:val="28"/>
          <w:szCs w:val="28"/>
        </w:rPr>
        <w:t xml:space="preserve">Эксперты </w:t>
      </w:r>
      <w:proofErr w:type="gramStart"/>
      <w:r w:rsidRPr="00CB53C8">
        <w:rPr>
          <w:rFonts w:ascii="Times New Roman" w:hAnsi="Times New Roman" w:cs="Times New Roman"/>
          <w:b/>
          <w:bCs/>
          <w:sz w:val="28"/>
          <w:szCs w:val="28"/>
        </w:rPr>
        <w:t>регионального</w:t>
      </w:r>
      <w:proofErr w:type="gramEnd"/>
      <w:r w:rsidRPr="00CB53C8">
        <w:rPr>
          <w:rFonts w:ascii="Times New Roman" w:hAnsi="Times New Roman" w:cs="Times New Roman"/>
          <w:b/>
          <w:bCs/>
          <w:sz w:val="28"/>
          <w:szCs w:val="28"/>
        </w:rPr>
        <w:t xml:space="preserve"> Роскадастра рассказали о значении ЕГРН в деле охраны природы</w:t>
      </w:r>
    </w:p>
    <w:p w:rsidR="00CB53C8" w:rsidRPr="00CB53C8" w:rsidRDefault="00CB53C8" w:rsidP="00CB53C8">
      <w:pPr>
        <w:spacing w:after="0" w:line="360" w:lineRule="auto"/>
        <w:ind w:firstLine="709"/>
        <w:jc w:val="both"/>
        <w:rPr>
          <w:rFonts w:ascii="Times New Roman" w:hAnsi="Times New Roman" w:cs="Times New Roman"/>
          <w:sz w:val="28"/>
          <w:szCs w:val="28"/>
        </w:rPr>
      </w:pPr>
      <w:r w:rsidRPr="00CB53C8">
        <w:rPr>
          <w:rFonts w:ascii="Times New Roman" w:hAnsi="Times New Roman" w:cs="Times New Roman"/>
          <w:sz w:val="28"/>
          <w:szCs w:val="28"/>
        </w:rPr>
        <w:t>Ежегодно 5 июня отмечается Всемирный день окружающей среды. В России в этот день чествуют экологов и поздравляют с профессиональным праздником. Сегодняшний праздник – отличный повод напомнить всем о необходимости беречь и сохранять природу. В филиале ППК «Роскадастр» по Новосибирской области рассказали о значении Единого государственного реестра недвижимости (ЕГРН) в деле охраны природной среды.</w:t>
      </w:r>
    </w:p>
    <w:p w:rsidR="00CB53C8" w:rsidRPr="00CB53C8" w:rsidRDefault="00CB53C8" w:rsidP="00CB53C8">
      <w:pPr>
        <w:spacing w:after="0" w:line="360" w:lineRule="auto"/>
        <w:ind w:firstLine="709"/>
        <w:jc w:val="both"/>
        <w:rPr>
          <w:rFonts w:ascii="Times New Roman" w:hAnsi="Times New Roman" w:cs="Times New Roman"/>
          <w:sz w:val="28"/>
          <w:szCs w:val="28"/>
        </w:rPr>
      </w:pPr>
      <w:proofErr w:type="gramStart"/>
      <w:r w:rsidRPr="00CB53C8">
        <w:rPr>
          <w:rFonts w:ascii="Times New Roman" w:hAnsi="Times New Roman" w:cs="Times New Roman"/>
          <w:sz w:val="28"/>
          <w:szCs w:val="28"/>
        </w:rPr>
        <w:t>Региональный</w:t>
      </w:r>
      <w:proofErr w:type="gramEnd"/>
      <w:r w:rsidRPr="00CB53C8">
        <w:rPr>
          <w:rFonts w:ascii="Times New Roman" w:hAnsi="Times New Roman" w:cs="Times New Roman"/>
          <w:sz w:val="28"/>
          <w:szCs w:val="28"/>
        </w:rPr>
        <w:t xml:space="preserve"> Роскадастр проводит работу по внесению в ЕГРН сведений о границах особо охраняемых природных </w:t>
      </w:r>
      <w:hyperlink r:id="rId5" w:history="1">
        <w:r w:rsidRPr="00CB53C8">
          <w:rPr>
            <w:rStyle w:val="a4"/>
            <w:rFonts w:ascii="Times New Roman" w:hAnsi="Times New Roman" w:cs="Times New Roman"/>
            <w:sz w:val="28"/>
            <w:szCs w:val="28"/>
          </w:rPr>
          <w:t>территорий</w:t>
        </w:r>
      </w:hyperlink>
      <w:r w:rsidRPr="00CB53C8">
        <w:rPr>
          <w:rFonts w:ascii="Times New Roman" w:hAnsi="Times New Roman" w:cs="Times New Roman"/>
          <w:sz w:val="28"/>
          <w:szCs w:val="28"/>
        </w:rPr>
        <w:t xml:space="preserve"> (ООПТ). К ним относятся государственные природные заповедники и заказники, национальные и природные парки, памятники природы, дендрологические парки и ботанические сады. </w:t>
      </w:r>
    </w:p>
    <w:p w:rsidR="00CB53C8" w:rsidRPr="00CB53C8" w:rsidRDefault="00CB53C8" w:rsidP="00CB53C8">
      <w:pPr>
        <w:spacing w:after="0" w:line="360" w:lineRule="auto"/>
        <w:ind w:firstLine="709"/>
        <w:jc w:val="both"/>
        <w:rPr>
          <w:rFonts w:ascii="Times New Roman" w:hAnsi="Times New Roman" w:cs="Times New Roman"/>
          <w:sz w:val="28"/>
          <w:szCs w:val="28"/>
        </w:rPr>
      </w:pPr>
      <w:r w:rsidRPr="00CB53C8">
        <w:rPr>
          <w:rFonts w:ascii="Times New Roman" w:hAnsi="Times New Roman" w:cs="Times New Roman"/>
          <w:sz w:val="28"/>
          <w:szCs w:val="28"/>
        </w:rPr>
        <w:t>Сведения вносятся в ЕГРН в порядке межведомственного информационного взаимодействия с органами власти и органами местного самоуправления, уполномоченными на принятие решения об установлении или изменении границ территорий.</w:t>
      </w:r>
    </w:p>
    <w:p w:rsidR="00CB53C8" w:rsidRPr="00CB53C8" w:rsidRDefault="00CB53C8" w:rsidP="00CB53C8">
      <w:pPr>
        <w:spacing w:after="0" w:line="360" w:lineRule="auto"/>
        <w:ind w:firstLine="709"/>
        <w:jc w:val="both"/>
        <w:rPr>
          <w:rFonts w:ascii="Times New Roman" w:hAnsi="Times New Roman" w:cs="Times New Roman"/>
          <w:i/>
          <w:iCs/>
          <w:sz w:val="28"/>
          <w:szCs w:val="28"/>
        </w:rPr>
      </w:pPr>
      <w:r w:rsidRPr="00CB53C8">
        <w:rPr>
          <w:rFonts w:ascii="Times New Roman" w:hAnsi="Times New Roman" w:cs="Times New Roman"/>
          <w:sz w:val="28"/>
          <w:szCs w:val="28"/>
        </w:rPr>
        <w:t>«</w:t>
      </w:r>
      <w:r w:rsidRPr="00CB53C8">
        <w:rPr>
          <w:rFonts w:ascii="Times New Roman" w:hAnsi="Times New Roman" w:cs="Times New Roman"/>
          <w:i/>
          <w:iCs/>
          <w:sz w:val="28"/>
          <w:szCs w:val="28"/>
        </w:rPr>
        <w:t>На сегодняшний день в Новосибирской области создано 79 ООПТ регионального значения, сведения о которых в полном объеме внесены в ЕГРН. Среди них – природный парк «</w:t>
      </w:r>
      <w:proofErr w:type="spellStart"/>
      <w:r w:rsidRPr="00CB53C8">
        <w:rPr>
          <w:rFonts w:ascii="Times New Roman" w:hAnsi="Times New Roman" w:cs="Times New Roman"/>
          <w:i/>
          <w:iCs/>
          <w:sz w:val="28"/>
          <w:szCs w:val="28"/>
        </w:rPr>
        <w:t>Караканский</w:t>
      </w:r>
      <w:proofErr w:type="spellEnd"/>
      <w:r w:rsidRPr="00CB53C8">
        <w:rPr>
          <w:rFonts w:ascii="Times New Roman" w:hAnsi="Times New Roman" w:cs="Times New Roman"/>
          <w:i/>
          <w:iCs/>
          <w:sz w:val="28"/>
          <w:szCs w:val="28"/>
        </w:rPr>
        <w:t xml:space="preserve"> бор», лесной парк «</w:t>
      </w:r>
      <w:proofErr w:type="spellStart"/>
      <w:r w:rsidRPr="00CB53C8">
        <w:rPr>
          <w:rFonts w:ascii="Times New Roman" w:hAnsi="Times New Roman" w:cs="Times New Roman"/>
          <w:i/>
          <w:iCs/>
          <w:sz w:val="28"/>
          <w:szCs w:val="28"/>
        </w:rPr>
        <w:t>Заельцовский</w:t>
      </w:r>
      <w:proofErr w:type="spellEnd"/>
      <w:r w:rsidRPr="00CB53C8">
        <w:rPr>
          <w:rFonts w:ascii="Times New Roman" w:hAnsi="Times New Roman" w:cs="Times New Roman"/>
          <w:i/>
          <w:iCs/>
          <w:sz w:val="28"/>
          <w:szCs w:val="28"/>
        </w:rPr>
        <w:t xml:space="preserve"> бор», природный заказник «Кудряшовский бор», памятники природы «Дендрологический парк» и «</w:t>
      </w:r>
      <w:proofErr w:type="spellStart"/>
      <w:r w:rsidRPr="00CB53C8">
        <w:rPr>
          <w:rFonts w:ascii="Times New Roman" w:hAnsi="Times New Roman" w:cs="Times New Roman"/>
          <w:i/>
          <w:iCs/>
          <w:sz w:val="28"/>
          <w:szCs w:val="28"/>
        </w:rPr>
        <w:t>Бердские</w:t>
      </w:r>
      <w:proofErr w:type="spellEnd"/>
      <w:r w:rsidRPr="00CB53C8">
        <w:rPr>
          <w:rFonts w:ascii="Times New Roman" w:hAnsi="Times New Roman" w:cs="Times New Roman"/>
          <w:i/>
          <w:iCs/>
          <w:sz w:val="28"/>
          <w:szCs w:val="28"/>
        </w:rPr>
        <w:t xml:space="preserve"> скалы», </w:t>
      </w:r>
      <w:r w:rsidRPr="00CB53C8">
        <w:rPr>
          <w:rFonts w:ascii="Times New Roman" w:hAnsi="Times New Roman" w:cs="Times New Roman"/>
          <w:sz w:val="28"/>
          <w:szCs w:val="28"/>
        </w:rPr>
        <w:t xml:space="preserve">– отметил </w:t>
      </w:r>
      <w:r w:rsidRPr="00CB53C8">
        <w:rPr>
          <w:rFonts w:ascii="Times New Roman" w:hAnsi="Times New Roman" w:cs="Times New Roman"/>
          <w:b/>
          <w:bCs/>
          <w:sz w:val="28"/>
          <w:szCs w:val="28"/>
        </w:rPr>
        <w:t xml:space="preserve">заместитель министра природных ресурсов и экологии Новосибирской области Дмитрий </w:t>
      </w:r>
      <w:proofErr w:type="spellStart"/>
      <w:r w:rsidRPr="00CB53C8">
        <w:rPr>
          <w:rFonts w:ascii="Times New Roman" w:hAnsi="Times New Roman" w:cs="Times New Roman"/>
          <w:b/>
          <w:bCs/>
          <w:sz w:val="28"/>
          <w:szCs w:val="28"/>
        </w:rPr>
        <w:t>Цуканов</w:t>
      </w:r>
      <w:proofErr w:type="spellEnd"/>
      <w:r w:rsidRPr="00CB53C8">
        <w:rPr>
          <w:rFonts w:ascii="Times New Roman" w:hAnsi="Times New Roman" w:cs="Times New Roman"/>
          <w:b/>
          <w:bCs/>
          <w:sz w:val="28"/>
          <w:szCs w:val="28"/>
        </w:rPr>
        <w:t>.</w:t>
      </w:r>
    </w:p>
    <w:p w:rsidR="00CB53C8" w:rsidRPr="00CB53C8" w:rsidRDefault="00CB53C8" w:rsidP="00CB53C8">
      <w:pPr>
        <w:spacing w:after="0" w:line="360" w:lineRule="auto"/>
        <w:ind w:firstLine="709"/>
        <w:jc w:val="both"/>
        <w:rPr>
          <w:rFonts w:ascii="Times New Roman" w:hAnsi="Times New Roman" w:cs="Times New Roman"/>
          <w:sz w:val="28"/>
          <w:szCs w:val="28"/>
        </w:rPr>
      </w:pPr>
      <w:r w:rsidRPr="00CB53C8">
        <w:rPr>
          <w:rFonts w:ascii="Times New Roman" w:hAnsi="Times New Roman" w:cs="Times New Roman"/>
          <w:sz w:val="28"/>
          <w:szCs w:val="28"/>
        </w:rPr>
        <w:t xml:space="preserve">При выборе земельного участка под строительство важно убедиться в том, что земли не попадают в границы установленной ООПТ. Получить информацию о том, прилегает ли участок к территории или находится </w:t>
      </w:r>
      <w:r w:rsidRPr="00CB53C8">
        <w:rPr>
          <w:rFonts w:ascii="Times New Roman" w:hAnsi="Times New Roman" w:cs="Times New Roman"/>
          <w:sz w:val="28"/>
          <w:szCs w:val="28"/>
        </w:rPr>
        <w:lastRenderedPageBreak/>
        <w:t xml:space="preserve">непосредственно в границах ООПТ, можно с помощью сервиса «Публичная кадастровая карта» на </w:t>
      </w:r>
      <w:hyperlink r:id="rId6" w:history="1">
        <w:r w:rsidRPr="00CB53C8">
          <w:rPr>
            <w:rStyle w:val="a4"/>
            <w:rFonts w:ascii="Times New Roman" w:hAnsi="Times New Roman" w:cs="Times New Roman"/>
            <w:sz w:val="28"/>
            <w:szCs w:val="28"/>
          </w:rPr>
          <w:t>Портале</w:t>
        </w:r>
      </w:hyperlink>
      <w:r w:rsidRPr="00CB53C8">
        <w:rPr>
          <w:rFonts w:ascii="Times New Roman" w:hAnsi="Times New Roman" w:cs="Times New Roman"/>
          <w:sz w:val="28"/>
          <w:szCs w:val="28"/>
        </w:rPr>
        <w:t xml:space="preserve"> пространственных данных федеральной государственной географической информационной системы «Единая цифровая платформа «Национальная система пространственных данных».</w:t>
      </w:r>
    </w:p>
    <w:p w:rsidR="00CB53C8" w:rsidRPr="00CB53C8" w:rsidRDefault="00CB53C8" w:rsidP="00CB53C8">
      <w:pPr>
        <w:spacing w:after="0" w:line="360" w:lineRule="auto"/>
        <w:ind w:firstLine="709"/>
        <w:jc w:val="both"/>
        <w:rPr>
          <w:rFonts w:ascii="Times New Roman" w:hAnsi="Times New Roman" w:cs="Times New Roman"/>
          <w:sz w:val="28"/>
          <w:szCs w:val="28"/>
        </w:rPr>
      </w:pPr>
      <w:r w:rsidRPr="00CB53C8">
        <w:rPr>
          <w:rFonts w:ascii="Times New Roman" w:hAnsi="Times New Roman" w:cs="Times New Roman"/>
          <w:sz w:val="28"/>
          <w:szCs w:val="28"/>
        </w:rPr>
        <w:t xml:space="preserve">Сведения в виде юридически значимого документа можно получить, запросив выписку из ЕГРН об объекте недвижимости в любом офисе </w:t>
      </w:r>
      <w:hyperlink r:id="rId7" w:history="1">
        <w:r w:rsidRPr="00CB53C8">
          <w:rPr>
            <w:rStyle w:val="a4"/>
            <w:rFonts w:ascii="Times New Roman" w:hAnsi="Times New Roman" w:cs="Times New Roman"/>
            <w:sz w:val="28"/>
            <w:szCs w:val="28"/>
          </w:rPr>
          <w:t>центра</w:t>
        </w:r>
      </w:hyperlink>
      <w:r w:rsidRPr="00CB53C8">
        <w:rPr>
          <w:rFonts w:ascii="Times New Roman" w:hAnsi="Times New Roman" w:cs="Times New Roman"/>
          <w:sz w:val="28"/>
          <w:szCs w:val="28"/>
        </w:rPr>
        <w:t xml:space="preserve"> «Мои документы» (МФЦ), в рамках </w:t>
      </w:r>
      <w:hyperlink r:id="rId8" w:history="1">
        <w:r w:rsidRPr="00CB53C8">
          <w:rPr>
            <w:rStyle w:val="a4"/>
            <w:rFonts w:ascii="Times New Roman" w:hAnsi="Times New Roman" w:cs="Times New Roman"/>
            <w:sz w:val="28"/>
            <w:szCs w:val="28"/>
          </w:rPr>
          <w:t>выездного обслуживания</w:t>
        </w:r>
      </w:hyperlink>
      <w:r w:rsidRPr="00CB53C8">
        <w:rPr>
          <w:rFonts w:ascii="Times New Roman" w:hAnsi="Times New Roman" w:cs="Times New Roman"/>
          <w:sz w:val="28"/>
          <w:szCs w:val="28"/>
        </w:rPr>
        <w:t xml:space="preserve"> новосибирского Роскадастра, а также на официальном </w:t>
      </w:r>
      <w:hyperlink r:id="rId9" w:history="1">
        <w:r w:rsidRPr="00CB53C8">
          <w:rPr>
            <w:rStyle w:val="a4"/>
            <w:rFonts w:ascii="Times New Roman" w:hAnsi="Times New Roman" w:cs="Times New Roman"/>
            <w:sz w:val="28"/>
            <w:szCs w:val="28"/>
          </w:rPr>
          <w:t>сайте</w:t>
        </w:r>
      </w:hyperlink>
      <w:r w:rsidRPr="00CB53C8">
        <w:rPr>
          <w:rFonts w:ascii="Times New Roman" w:hAnsi="Times New Roman" w:cs="Times New Roman"/>
          <w:sz w:val="28"/>
          <w:szCs w:val="28"/>
        </w:rPr>
        <w:t xml:space="preserve"> Росреестра или на </w:t>
      </w:r>
      <w:hyperlink r:id="rId10" w:history="1">
        <w:r w:rsidRPr="00CB53C8">
          <w:rPr>
            <w:rStyle w:val="a4"/>
            <w:rFonts w:ascii="Times New Roman" w:hAnsi="Times New Roman" w:cs="Times New Roman"/>
            <w:sz w:val="28"/>
            <w:szCs w:val="28"/>
          </w:rPr>
          <w:t>портале</w:t>
        </w:r>
      </w:hyperlink>
      <w:r w:rsidRPr="00CB53C8">
        <w:rPr>
          <w:rFonts w:ascii="Times New Roman" w:hAnsi="Times New Roman" w:cs="Times New Roman"/>
          <w:sz w:val="28"/>
          <w:szCs w:val="28"/>
        </w:rPr>
        <w:t xml:space="preserve"> «Госуслуги».</w:t>
      </w:r>
    </w:p>
    <w:p w:rsidR="00CB53C8" w:rsidRPr="00CB53C8" w:rsidRDefault="00CB53C8" w:rsidP="00CB53C8">
      <w:pPr>
        <w:spacing w:after="0" w:line="360" w:lineRule="auto"/>
        <w:ind w:firstLine="709"/>
        <w:jc w:val="both"/>
        <w:rPr>
          <w:rFonts w:ascii="Times New Roman" w:hAnsi="Times New Roman" w:cs="Times New Roman"/>
          <w:sz w:val="28"/>
          <w:szCs w:val="28"/>
        </w:rPr>
      </w:pPr>
      <w:r w:rsidRPr="00CB53C8">
        <w:rPr>
          <w:rFonts w:ascii="Times New Roman" w:hAnsi="Times New Roman" w:cs="Times New Roman"/>
          <w:sz w:val="28"/>
          <w:szCs w:val="28"/>
        </w:rPr>
        <w:t>«</w:t>
      </w:r>
      <w:r w:rsidRPr="00CB53C8">
        <w:rPr>
          <w:rFonts w:ascii="Times New Roman" w:hAnsi="Times New Roman" w:cs="Times New Roman"/>
          <w:i/>
          <w:iCs/>
          <w:sz w:val="28"/>
          <w:szCs w:val="28"/>
        </w:rPr>
        <w:t>Наличие в ЕГРН сведений о границах таких территорий способствует защите природных комплексов посредством установления режима особой охраны и запрета любой деятельности, способной нанести вред окружающей среде, растительному и животному миру. Например, рубка леса, мелиоративные работы, строительство коммуникаций, устройство стоянок. Кроме того, минимизируются ошибки при предоставлении органами местного самоуправления земельных участков, соответственно, исключается ущерб, который может быть нанесен уникальным природным местам</w:t>
      </w:r>
      <w:r w:rsidRPr="00CB53C8">
        <w:rPr>
          <w:rFonts w:ascii="Times New Roman" w:hAnsi="Times New Roman" w:cs="Times New Roman"/>
          <w:sz w:val="28"/>
          <w:szCs w:val="28"/>
        </w:rPr>
        <w:t xml:space="preserve">», – прокомментировал </w:t>
      </w:r>
      <w:r w:rsidRPr="00CB53C8">
        <w:rPr>
          <w:rFonts w:ascii="Times New Roman" w:hAnsi="Times New Roman" w:cs="Times New Roman"/>
          <w:b/>
          <w:bCs/>
          <w:sz w:val="28"/>
          <w:szCs w:val="28"/>
        </w:rPr>
        <w:t xml:space="preserve">директор филиала ППК «Роскадастр» по Новосибирской области Виталий </w:t>
      </w:r>
      <w:proofErr w:type="spellStart"/>
      <w:r w:rsidRPr="00CB53C8">
        <w:rPr>
          <w:rFonts w:ascii="Times New Roman" w:hAnsi="Times New Roman" w:cs="Times New Roman"/>
          <w:b/>
          <w:bCs/>
          <w:sz w:val="28"/>
          <w:szCs w:val="28"/>
        </w:rPr>
        <w:t>Герлиц</w:t>
      </w:r>
      <w:proofErr w:type="spellEnd"/>
      <w:r w:rsidRPr="00CB53C8">
        <w:rPr>
          <w:rFonts w:ascii="Times New Roman" w:hAnsi="Times New Roman" w:cs="Times New Roman"/>
          <w:sz w:val="28"/>
          <w:szCs w:val="28"/>
        </w:rPr>
        <w:t xml:space="preserve">. </w:t>
      </w:r>
    </w:p>
    <w:p w:rsidR="00F30752" w:rsidRPr="004F3CBA" w:rsidRDefault="00F30752" w:rsidP="00F30752">
      <w:pPr>
        <w:spacing w:after="0" w:line="240" w:lineRule="auto"/>
        <w:jc w:val="right"/>
        <w:rPr>
          <w:rFonts w:ascii="Times New Roman" w:eastAsia="Times New Roman" w:hAnsi="Times New Roman" w:cs="Times New Roman"/>
          <w:b/>
          <w:sz w:val="26"/>
          <w:szCs w:val="26"/>
          <w:lang w:eastAsia="ru-RU"/>
        </w:rPr>
      </w:pPr>
    </w:p>
    <w:p w:rsidR="00CB53C8" w:rsidRDefault="00CB53C8" w:rsidP="00F30752">
      <w:pPr>
        <w:spacing w:after="0" w:line="240" w:lineRule="auto"/>
        <w:jc w:val="right"/>
        <w:rPr>
          <w:rFonts w:ascii="Times New Roman" w:eastAsia="Times New Roman" w:hAnsi="Times New Roman" w:cs="Times New Roman"/>
          <w:b/>
          <w:sz w:val="26"/>
          <w:szCs w:val="26"/>
          <w:lang w:eastAsia="ru-RU"/>
        </w:rPr>
      </w:pPr>
    </w:p>
    <w:p w:rsidR="00F30752" w:rsidRPr="004F3CBA" w:rsidRDefault="00EF398E" w:rsidP="00F30752">
      <w:pPr>
        <w:spacing w:after="0" w:line="240" w:lineRule="auto"/>
        <w:jc w:val="righ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Материал подготовлен</w:t>
      </w:r>
      <w:r w:rsidR="00F30752" w:rsidRPr="004F3CBA">
        <w:rPr>
          <w:rFonts w:ascii="Times New Roman" w:eastAsia="Times New Roman" w:hAnsi="Times New Roman" w:cs="Times New Roman"/>
          <w:b/>
          <w:sz w:val="26"/>
          <w:szCs w:val="26"/>
          <w:lang w:eastAsia="ru-RU"/>
        </w:rPr>
        <w:t xml:space="preserve"> филиалом ППК «Роскадастр»</w:t>
      </w:r>
    </w:p>
    <w:p w:rsidR="00F30752" w:rsidRPr="004F3CBA" w:rsidRDefault="00F30752" w:rsidP="00F30752">
      <w:pPr>
        <w:spacing w:after="0" w:line="240" w:lineRule="auto"/>
        <w:jc w:val="right"/>
        <w:rPr>
          <w:rFonts w:ascii="Times New Roman" w:eastAsia="Times New Roman" w:hAnsi="Times New Roman" w:cs="Times New Roman"/>
          <w:b/>
          <w:sz w:val="26"/>
          <w:szCs w:val="26"/>
          <w:lang w:eastAsia="ru-RU"/>
        </w:rPr>
      </w:pPr>
      <w:r w:rsidRPr="004F3CBA">
        <w:rPr>
          <w:rFonts w:ascii="Times New Roman" w:eastAsia="Times New Roman" w:hAnsi="Times New Roman" w:cs="Times New Roman"/>
          <w:b/>
          <w:sz w:val="26"/>
          <w:szCs w:val="26"/>
          <w:lang w:eastAsia="ru-RU"/>
        </w:rPr>
        <w:t>по Новосибирской области</w:t>
      </w:r>
      <w:r w:rsidR="000D112B">
        <w:rPr>
          <w:rFonts w:ascii="Times New Roman" w:eastAsia="Times New Roman" w:hAnsi="Times New Roman" w:cs="Times New Roman"/>
          <w:b/>
          <w:sz w:val="26"/>
          <w:szCs w:val="26"/>
          <w:lang w:eastAsia="ru-RU"/>
        </w:rPr>
        <w:t>.</w:t>
      </w:r>
    </w:p>
    <w:p w:rsidR="00692D5C" w:rsidRPr="00EF398E" w:rsidRDefault="00692D5C">
      <w:pPr>
        <w:rPr>
          <w:rFonts w:ascii="Times New Roman" w:hAnsi="Times New Roman" w:cs="Times New Roman"/>
          <w:sz w:val="28"/>
          <w:szCs w:val="28"/>
        </w:rPr>
      </w:pPr>
    </w:p>
    <w:sectPr w:rsidR="00692D5C" w:rsidRPr="00EF398E" w:rsidSect="003919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67C3"/>
    <w:rsid w:val="00030865"/>
    <w:rsid w:val="000D112B"/>
    <w:rsid w:val="0012303A"/>
    <w:rsid w:val="00123801"/>
    <w:rsid w:val="00147392"/>
    <w:rsid w:val="001760F2"/>
    <w:rsid w:val="00197478"/>
    <w:rsid w:val="003373F1"/>
    <w:rsid w:val="00342648"/>
    <w:rsid w:val="00391907"/>
    <w:rsid w:val="00490598"/>
    <w:rsid w:val="0049137D"/>
    <w:rsid w:val="004F3CBA"/>
    <w:rsid w:val="00527F99"/>
    <w:rsid w:val="00556374"/>
    <w:rsid w:val="0056459E"/>
    <w:rsid w:val="005B6AE2"/>
    <w:rsid w:val="00692D5C"/>
    <w:rsid w:val="006C5797"/>
    <w:rsid w:val="007A3E0F"/>
    <w:rsid w:val="007E3782"/>
    <w:rsid w:val="009167C3"/>
    <w:rsid w:val="00A37404"/>
    <w:rsid w:val="00A93F2F"/>
    <w:rsid w:val="00B30CDA"/>
    <w:rsid w:val="00BB0C9C"/>
    <w:rsid w:val="00BC14C4"/>
    <w:rsid w:val="00BE2346"/>
    <w:rsid w:val="00BE4CC4"/>
    <w:rsid w:val="00C56848"/>
    <w:rsid w:val="00CB53C8"/>
    <w:rsid w:val="00D320C0"/>
    <w:rsid w:val="00DF0AA4"/>
    <w:rsid w:val="00E43F52"/>
    <w:rsid w:val="00E815F6"/>
    <w:rsid w:val="00EF398E"/>
    <w:rsid w:val="00EF7D5A"/>
    <w:rsid w:val="00F30752"/>
    <w:rsid w:val="00F761B3"/>
    <w:rsid w:val="00FB27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9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39552,bqiaagaaeyqcaaagiaiaaanzmqaabygzaaaaaaaaaaaaaaaaaaaaaaaaaaaaaaaaaaaaaaaaaaaaaaaaaaaaaaaaaaaaaaaaaaaaaaaaaaaaaaaaaaaaaaaaaaaaaaaaaaaaaaaaaaaaaaaaaaaaaaaaaaaaaaaaaaaaaaaaaaaaaaaaaaaaaaaaaaaaaaaaaaaaaaaaaaaaaaaaaaaaaaaaaaaaaaaaaaaaaaa"/>
    <w:basedOn w:val="a"/>
    <w:rsid w:val="007E37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7E37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E3782"/>
    <w:rPr>
      <w:color w:val="0000FF"/>
      <w:u w:val="single"/>
    </w:rPr>
  </w:style>
  <w:style w:type="paragraph" w:styleId="a5">
    <w:name w:val="Balloon Text"/>
    <w:basedOn w:val="a"/>
    <w:link w:val="a6"/>
    <w:uiPriority w:val="99"/>
    <w:semiHidden/>
    <w:unhideWhenUsed/>
    <w:rsid w:val="00527F9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7F99"/>
    <w:rPr>
      <w:rFonts w:ascii="Segoe UI" w:hAnsi="Segoe UI" w:cs="Segoe UI"/>
      <w:sz w:val="18"/>
      <w:szCs w:val="18"/>
    </w:rPr>
  </w:style>
  <w:style w:type="character" w:styleId="a7">
    <w:name w:val="Emphasis"/>
    <w:basedOn w:val="a0"/>
    <w:uiPriority w:val="20"/>
    <w:qFormat/>
    <w:rsid w:val="00BB0C9C"/>
    <w:rPr>
      <w:i/>
      <w:iCs/>
    </w:rPr>
  </w:style>
</w:styles>
</file>

<file path=word/webSettings.xml><?xml version="1.0" encoding="utf-8"?>
<w:webSettings xmlns:r="http://schemas.openxmlformats.org/officeDocument/2006/relationships" xmlns:w="http://schemas.openxmlformats.org/wordprocessingml/2006/main">
  <w:divs>
    <w:div w:id="709258625">
      <w:bodyDiv w:val="1"/>
      <w:marLeft w:val="0"/>
      <w:marRight w:val="0"/>
      <w:marTop w:val="0"/>
      <w:marBottom w:val="0"/>
      <w:divBdr>
        <w:top w:val="none" w:sz="0" w:space="0" w:color="auto"/>
        <w:left w:val="none" w:sz="0" w:space="0" w:color="auto"/>
        <w:bottom w:val="none" w:sz="0" w:space="0" w:color="auto"/>
        <w:right w:val="none" w:sz="0" w:space="0" w:color="auto"/>
      </w:divBdr>
    </w:div>
    <w:div w:id="1517959010">
      <w:bodyDiv w:val="1"/>
      <w:marLeft w:val="0"/>
      <w:marRight w:val="0"/>
      <w:marTop w:val="0"/>
      <w:marBottom w:val="0"/>
      <w:divBdr>
        <w:top w:val="none" w:sz="0" w:space="0" w:color="auto"/>
        <w:left w:val="none" w:sz="0" w:space="0" w:color="auto"/>
        <w:bottom w:val="none" w:sz="0" w:space="0" w:color="auto"/>
        <w:right w:val="none" w:sz="0" w:space="0" w:color="auto"/>
      </w:divBdr>
    </w:div>
    <w:div w:id="213235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dastr.ru/services/vyezdnoe-obsluzhivanie/" TargetMode="External"/><Relationship Id="rId3" Type="http://schemas.openxmlformats.org/officeDocument/2006/relationships/webSettings" Target="webSettings.xml"/><Relationship Id="rId7" Type="http://schemas.openxmlformats.org/officeDocument/2006/relationships/hyperlink" Target="https://www.mfc-nso.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spd.gov.ru/" TargetMode="External"/><Relationship Id="rId11" Type="http://schemas.openxmlformats.org/officeDocument/2006/relationships/fontTable" Target="fontTable.xml"/><Relationship Id="rId5" Type="http://schemas.openxmlformats.org/officeDocument/2006/relationships/hyperlink" Target="https://www.consultant.ru/document/cons_doc_LAW_6072/" TargetMode="External"/><Relationship Id="rId10" Type="http://schemas.openxmlformats.org/officeDocument/2006/relationships/hyperlink" Target="https://www.gosuslugi.ru/" TargetMode="External"/><Relationship Id="rId4" Type="http://schemas.openxmlformats.org/officeDocument/2006/relationships/image" Target="media/image1.png"/><Relationship Id="rId9" Type="http://schemas.openxmlformats.org/officeDocument/2006/relationships/hyperlink" Target="https://rosreestr.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470</Words>
  <Characters>2681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kni</dc:creator>
  <cp:keywords/>
  <dc:description/>
  <cp:lastModifiedBy>Sidorova_LV</cp:lastModifiedBy>
  <cp:revision>21</cp:revision>
  <dcterms:created xsi:type="dcterms:W3CDTF">2024-08-05T09:38:00Z</dcterms:created>
  <dcterms:modified xsi:type="dcterms:W3CDTF">2025-06-05T02:53:00Z</dcterms:modified>
</cp:coreProperties>
</file>